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CE9" w:rsidRDefault="00F10CE9" w:rsidP="00F10CE9">
      <w:pPr>
        <w:spacing w:after="0" w:line="240" w:lineRule="auto"/>
        <w:ind w:left="0" w:firstLine="0"/>
        <w:jc w:val="right"/>
        <w:rPr>
          <w:rFonts w:ascii="Arial" w:hAnsi="Arial" w:cs="Arial"/>
          <w:b/>
          <w:color w:val="auto"/>
          <w:sz w:val="22"/>
          <w:lang w:val="sr-Cyrl-RS"/>
        </w:rPr>
      </w:pPr>
      <w:r>
        <w:rPr>
          <w:rFonts w:ascii="Arial" w:hAnsi="Arial" w:cs="Arial"/>
          <w:b/>
          <w:color w:val="auto"/>
          <w:sz w:val="22"/>
          <w:lang w:val="sr-Cyrl-RS"/>
        </w:rPr>
        <w:t>ЧЕК ЛИСТА</w:t>
      </w:r>
    </w:p>
    <w:p w:rsidR="00F10CE9" w:rsidRPr="00266E61" w:rsidRDefault="00F10CE9" w:rsidP="00F10CE9">
      <w:pPr>
        <w:spacing w:after="0" w:line="240" w:lineRule="auto"/>
        <w:ind w:left="0" w:firstLine="0"/>
        <w:jc w:val="right"/>
        <w:rPr>
          <w:rFonts w:ascii="Arial" w:hAnsi="Arial" w:cs="Arial"/>
          <w:b/>
          <w:color w:val="auto"/>
          <w:sz w:val="22"/>
          <w:lang w:val="sr-Cyrl-RS"/>
        </w:rPr>
      </w:pPr>
    </w:p>
    <w:p w:rsidR="00F10CE9" w:rsidRDefault="00F10CE9" w:rsidP="00F10CE9">
      <w:pPr>
        <w:spacing w:after="0" w:line="240" w:lineRule="auto"/>
        <w:ind w:left="0" w:firstLine="0"/>
        <w:jc w:val="center"/>
        <w:rPr>
          <w:rFonts w:ascii="Arial" w:hAnsi="Arial" w:cs="Arial"/>
          <w:b/>
          <w:color w:val="auto"/>
          <w:sz w:val="22"/>
          <w:lang w:val="sr-Cyrl-RS"/>
        </w:rPr>
      </w:pPr>
      <w:r w:rsidRPr="005B3140">
        <w:rPr>
          <w:rFonts w:ascii="Arial" w:hAnsi="Arial" w:cs="Arial"/>
          <w:b/>
          <w:color w:val="auto"/>
          <w:sz w:val="22"/>
        </w:rPr>
        <w:t xml:space="preserve">VI ОБАВЕЗНА ДОКУМЕНТАЦИЈА УЗ ПРИЈАВУ НА ЈАВНИ </w:t>
      </w:r>
      <w:r w:rsidRPr="005B3140">
        <w:rPr>
          <w:rFonts w:ascii="Arial" w:hAnsi="Arial" w:cs="Arial"/>
          <w:b/>
          <w:color w:val="auto"/>
          <w:sz w:val="22"/>
          <w:lang w:val="sr-Cyrl-RS"/>
        </w:rPr>
        <w:t>ПОЗИВ</w:t>
      </w:r>
    </w:p>
    <w:p w:rsidR="00F10CE9" w:rsidRPr="00102496" w:rsidRDefault="00F10CE9" w:rsidP="00F10CE9">
      <w:pPr>
        <w:spacing w:after="0" w:line="240" w:lineRule="auto"/>
        <w:ind w:left="0" w:firstLine="0"/>
        <w:jc w:val="center"/>
        <w:rPr>
          <w:rFonts w:ascii="Arial" w:hAnsi="Arial" w:cs="Arial"/>
          <w:color w:val="auto"/>
          <w:sz w:val="22"/>
          <w:lang w:val="sr-Cyrl-RS"/>
        </w:rPr>
      </w:pPr>
    </w:p>
    <w:p w:rsidR="00F10CE9" w:rsidRDefault="00F10CE9" w:rsidP="00F10CE9">
      <w:pPr>
        <w:spacing w:after="0" w:line="240" w:lineRule="auto"/>
        <w:ind w:left="0" w:firstLine="708"/>
        <w:jc w:val="left"/>
        <w:rPr>
          <w:rFonts w:ascii="Arial" w:hAnsi="Arial" w:cs="Arial"/>
          <w:color w:val="auto"/>
          <w:sz w:val="22"/>
        </w:rPr>
      </w:pPr>
      <w:r w:rsidRPr="00A17D74">
        <w:rPr>
          <w:rFonts w:ascii="Arial" w:hAnsi="Arial" w:cs="Arial"/>
          <w:color w:val="auto"/>
          <w:sz w:val="22"/>
          <w:lang w:val="sr-Cyrl-CS"/>
        </w:rPr>
        <w:t>Пријава на јавни позив обавезно</w:t>
      </w:r>
      <w:r w:rsidRPr="00A17D74">
        <w:rPr>
          <w:rFonts w:ascii="Arial" w:hAnsi="Arial" w:cs="Arial"/>
          <w:color w:val="auto"/>
          <w:sz w:val="22"/>
          <w:lang w:val="sr-Cyrl-RS"/>
        </w:rPr>
        <w:t xml:space="preserve"> </w:t>
      </w:r>
      <w:r w:rsidRPr="00A17D74">
        <w:rPr>
          <w:rFonts w:ascii="Arial" w:hAnsi="Arial" w:cs="Arial"/>
          <w:color w:val="auto"/>
          <w:sz w:val="22"/>
          <w:lang w:val="sr-Cyrl-CS"/>
        </w:rPr>
        <w:t>садржи</w:t>
      </w:r>
      <w:r w:rsidRPr="00A17D74">
        <w:rPr>
          <w:rFonts w:ascii="Arial" w:hAnsi="Arial" w:cs="Arial"/>
          <w:color w:val="auto"/>
          <w:sz w:val="22"/>
        </w:rPr>
        <w:t>:</w:t>
      </w:r>
    </w:p>
    <w:p w:rsidR="00F10CE9" w:rsidRPr="00A17D74" w:rsidRDefault="00F10CE9" w:rsidP="00F10CE9">
      <w:pPr>
        <w:spacing w:after="0" w:line="240" w:lineRule="auto"/>
        <w:ind w:left="0" w:firstLine="708"/>
        <w:jc w:val="left"/>
        <w:rPr>
          <w:rFonts w:ascii="Arial" w:hAnsi="Arial" w:cs="Arial"/>
          <w:color w:val="auto"/>
          <w:sz w:val="22"/>
        </w:rPr>
      </w:pP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531" w:hanging="680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потписан и попуњен Пријавни образац за суфинасирање мера енергетске ефикасности (Прилог 1)  са попуњеним подацима о мери</w:t>
      </w:r>
      <w:bookmarkStart w:id="0" w:name="_GoBack"/>
      <w:bookmarkEnd w:id="0"/>
      <w:r w:rsidRPr="001E7A16">
        <w:rPr>
          <w:rFonts w:ascii="Arial" w:eastAsia="游ゴシック" w:hAnsi="Arial" w:cs="Arial"/>
          <w:sz w:val="22"/>
          <w:lang w:val="sr-Cyrl-RS"/>
        </w:rPr>
        <w:t xml:space="preserve"> за кој</w:t>
      </w:r>
      <w:r w:rsidRPr="001E7A16">
        <w:rPr>
          <w:rFonts w:ascii="Arial" w:eastAsia="游ゴシック" w:hAnsi="Arial" w:cs="Arial"/>
          <w:sz w:val="22"/>
          <w:lang w:val="sr-Cyrl-CS"/>
        </w:rPr>
        <w:t>у</w:t>
      </w:r>
      <w:r w:rsidRPr="001E7A16">
        <w:rPr>
          <w:rFonts w:ascii="Arial" w:eastAsia="游ゴシック" w:hAnsi="Arial" w:cs="Arial"/>
          <w:sz w:val="22"/>
          <w:lang w:val="sr-Cyrl-RS"/>
        </w:rPr>
        <w:t xml:space="preserve"> се конкурише и о стању грађевинских (фасадних) елемената и грејног система објекта;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531" w:hanging="680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 xml:space="preserve">доказ о власништву: </w:t>
      </w:r>
    </w:p>
    <w:p w:rsidR="006F2A2A" w:rsidRPr="001E7A16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Извод из листа непокретности/ уговор о купопродаји/уговор о поклону/правноснажно оставинско решење или други одговарајући документ из кога се несумњиво може утврдити власник објекта,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Уколико више лица имају право сусвојине на објекту, потребно је доставити изјаве сагласности свих сувласника објекта, приликом пријаве,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531" w:hanging="680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 xml:space="preserve">доказ о легалности објекта: </w:t>
      </w:r>
    </w:p>
    <w:p w:rsidR="006F2A2A" w:rsidRPr="00907732" w:rsidRDefault="006F2A2A" w:rsidP="006F2A2A">
      <w:pPr>
        <w:pStyle w:val="ListParagraph"/>
        <w:numPr>
          <w:ilvl w:val="1"/>
          <w:numId w:val="3"/>
        </w:numPr>
        <w:spacing w:after="0" w:line="240" w:lineRule="auto"/>
        <w:ind w:firstLine="1370"/>
        <w:rPr>
          <w:rFonts w:ascii="Arial" w:eastAsia="游ゴシック" w:hAnsi="Arial" w:cs="Arial"/>
          <w:sz w:val="22"/>
          <w:lang w:val="sr-Cyrl-RS"/>
        </w:rPr>
      </w:pPr>
      <w:r w:rsidRPr="00907732">
        <w:rPr>
          <w:rFonts w:ascii="Arial" w:eastAsia="游ゴシック" w:hAnsi="Arial" w:cs="Arial"/>
          <w:sz w:val="22"/>
          <w:lang w:val="sr-Cyrl-RS"/>
        </w:rPr>
        <w:t>Употребна дозвола, или</w:t>
      </w:r>
    </w:p>
    <w:p w:rsidR="006F2A2A" w:rsidRPr="00907732" w:rsidRDefault="006F2A2A" w:rsidP="006F2A2A">
      <w:pPr>
        <w:pStyle w:val="ListParagraph"/>
        <w:numPr>
          <w:ilvl w:val="1"/>
          <w:numId w:val="3"/>
        </w:numPr>
        <w:spacing w:after="0" w:line="240" w:lineRule="auto"/>
        <w:ind w:firstLine="1370"/>
        <w:rPr>
          <w:rFonts w:ascii="Arial" w:eastAsia="游ゴシック" w:hAnsi="Arial" w:cs="Arial"/>
          <w:sz w:val="22"/>
          <w:lang w:val="sr-Cyrl-RS"/>
        </w:rPr>
      </w:pPr>
      <w:r w:rsidRPr="00907732">
        <w:rPr>
          <w:rFonts w:ascii="Arial" w:eastAsia="游ゴシック" w:hAnsi="Arial" w:cs="Arial"/>
          <w:sz w:val="22"/>
          <w:lang w:val="sr-Cyrl-RS"/>
        </w:rPr>
        <w:t>Решење о озакоњењу, или</w:t>
      </w:r>
    </w:p>
    <w:p w:rsidR="006F2A2A" w:rsidRPr="00385408" w:rsidRDefault="006F2A2A" w:rsidP="006F2A2A">
      <w:pPr>
        <w:pStyle w:val="ListParagraph"/>
        <w:numPr>
          <w:ilvl w:val="1"/>
          <w:numId w:val="3"/>
        </w:numPr>
        <w:spacing w:after="0" w:line="240" w:lineRule="auto"/>
        <w:ind w:left="2183" w:hanging="57"/>
        <w:rPr>
          <w:rFonts w:ascii="Arial" w:eastAsia="游ゴシック" w:hAnsi="Arial" w:cs="Arial"/>
          <w:sz w:val="22"/>
          <w:lang w:val="sr-Cyrl-RS"/>
        </w:rPr>
      </w:pPr>
      <w:r w:rsidRPr="00385408">
        <w:rPr>
          <w:rFonts w:ascii="Arial" w:eastAsia="游ゴシック" w:hAnsi="Arial" w:cs="Arial"/>
          <w:sz w:val="22"/>
          <w:lang w:val="sr-Cyrl-RS"/>
        </w:rPr>
        <w:t>Уверење одељења надлежног за имовинско-правне послове ЈЛС/извод из листа непокретности да је објекат изграђен пре доношења прописа о изградњи објекта.</w:t>
      </w:r>
    </w:p>
    <w:p w:rsidR="006F2A2A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531" w:hanging="680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У случају да крајњи корисник није власник објекта, доказ да је члан уже породице</w:t>
      </w:r>
      <w:r w:rsidRPr="001E7A16">
        <w:rPr>
          <w:rFonts w:ascii="Arial" w:eastAsia="游ゴシック" w:hAnsi="Arial" w:cs="Arial"/>
          <w:sz w:val="22"/>
        </w:rPr>
        <w:t>;</w:t>
      </w:r>
    </w:p>
    <w:p w:rsidR="006F2A2A" w:rsidRPr="005F61DC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5F61DC"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за брачног друга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извод из матичне књиге (МК) венчаних или извод из МК рођених за лице које није власник објекта али је брачни друг власника објекта (обавезно у забележби о брачном статусу мора да стоји да је лице закључило брак са брачним другом који је власник објекта), </w:t>
      </w:r>
    </w:p>
    <w:p w:rsidR="006F2A2A" w:rsidRPr="005F61DC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за дете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извод из МК рођених, на основу чега ће се утврдити мајка/отац која/и је поднела/о пријаву,</w:t>
      </w:r>
    </w:p>
    <w:p w:rsidR="006F2A2A" w:rsidRPr="005F61DC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5F61DC"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брат/сестра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извод из МК рођених за полуродног и истородног брата/сестру и извод из МК рођених за брата/сестру где ће се утврдити да имају заједничког родитеља, </w:t>
      </w:r>
    </w:p>
    <w:p w:rsidR="006F2A2A" w:rsidRPr="005F61DC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5F61DC"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родитељ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извод из МК рођених, на основу чега ће се утврдити да је дете подносилац пријаве, </w:t>
      </w:r>
    </w:p>
    <w:p w:rsidR="006F2A2A" w:rsidRPr="005F61DC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5F61DC"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деда/баба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извод из МК рођених за директног потомка- унука (подносиоца пријаве), извод из МК рођених (умрлих) за родитеља (мајка/отац) и извод из МК рођених за бабу/деду (власнике објекта) који су у крвном сродству са оцем/мајком подносиоца пријаве (унуком),</w:t>
      </w:r>
    </w:p>
    <w:p w:rsidR="006F2A2A" w:rsidRPr="00343540" w:rsidRDefault="006F2A2A" w:rsidP="006F2A2A">
      <w:pPr>
        <w:pStyle w:val="ListParagraph"/>
        <w:spacing w:after="0" w:line="240" w:lineRule="auto"/>
        <w:ind w:left="1418" w:firstLine="0"/>
        <w:rPr>
          <w:rFonts w:ascii="Arial" w:eastAsia="游ゴシック" w:hAnsi="Arial" w:cs="Arial"/>
          <w:sz w:val="22"/>
          <w:lang w:val="sr-Cyrl-RS"/>
        </w:rPr>
      </w:pPr>
      <w:r w:rsidRPr="005F61DC">
        <w:rPr>
          <w:rFonts w:ascii="Arial" w:eastAsia="游ゴシック" w:hAnsi="Arial" w:cs="Arial"/>
          <w:sz w:val="22"/>
          <w:lang w:val="sr-Cyrl-RS"/>
        </w:rPr>
        <w:t xml:space="preserve">- </w:t>
      </w:r>
      <w:r w:rsidRPr="00907732">
        <w:rPr>
          <w:rFonts w:ascii="Arial" w:eastAsia="游ゴシック" w:hAnsi="Arial" w:cs="Arial"/>
          <w:sz w:val="22"/>
          <w:u w:val="single"/>
          <w:lang w:val="sr-Cyrl-RS"/>
        </w:rPr>
        <w:t>усвојеник/усвојилац</w:t>
      </w:r>
      <w:r w:rsidRPr="005F61DC">
        <w:rPr>
          <w:rFonts w:ascii="Arial" w:eastAsia="游ゴシック" w:hAnsi="Arial" w:cs="Arial"/>
          <w:sz w:val="22"/>
          <w:lang w:val="sr-Cyrl-RS"/>
        </w:rPr>
        <w:t xml:space="preserve"> - Решење центра за социјални рад или извод из МК рођених уколико су наведени усвојиоци/усвојеник или уверење из МК рођених на обрасцу 9, за непотпуно усвојење</w:t>
      </w:r>
      <w:r>
        <w:rPr>
          <w:rFonts w:ascii="Arial" w:eastAsia="游ゴシック" w:hAnsi="Arial" w:cs="Arial"/>
          <w:sz w:val="22"/>
          <w:lang w:val="sr-Cyrl-RS"/>
        </w:rPr>
        <w:t>;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385408">
        <w:rPr>
          <w:rFonts w:ascii="Arial" w:eastAsia="游ゴシック" w:hAnsi="Arial" w:cs="Arial"/>
          <w:sz w:val="22"/>
          <w:lang w:val="sr-Cyrl-RS"/>
        </w:rPr>
        <w:t>Решење о статусу енергетски угроженог купца на основу чланова 3., 6., 7. и 8. Уредбе о Енергетски угроженом купцу("Сл . гласник РС", бр. 137/22, 46/23, 93/2023, 103/23, 116/23 и 37/24-др правилник);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531" w:hanging="680"/>
        <w:jc w:val="left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фотокопија личне карте или очитана лична карта подносиоца пријаве;</w:t>
      </w:r>
    </w:p>
    <w:p w:rsidR="006F2A2A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За меру из поглавља I. тачкa 4) Јавног позива  решење о одобрењу извођења радова или неки други акт којим надлежни орган одобрава извођење радова на унутрашњој гасној инсталацији до новог котла који се уграђује;</w:t>
      </w:r>
      <w:r>
        <w:rPr>
          <w:rFonts w:ascii="Arial" w:eastAsia="游ゴシック" w:hAnsi="Arial" w:cs="Arial"/>
          <w:sz w:val="22"/>
          <w:lang w:val="sr-Cyrl-RS"/>
        </w:rPr>
        <w:t xml:space="preserve"> у складу са прилогом 2;</w:t>
      </w:r>
    </w:p>
    <w:p w:rsidR="006F2A2A" w:rsidRPr="007E23AC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7E23AC">
        <w:rPr>
          <w:rFonts w:ascii="Arial" w:eastAsia="游ゴシック" w:hAnsi="Arial" w:cs="Arial"/>
          <w:sz w:val="22"/>
          <w:lang w:val="sr-Cyrl-RS"/>
        </w:rPr>
        <w:t>За остале мере предрачун за потребну техничку документацију за примену мера енергетске санације из Прилога 2</w:t>
      </w:r>
      <w:r>
        <w:rPr>
          <w:rFonts w:ascii="Arial" w:eastAsia="游ゴシック" w:hAnsi="Arial" w:cs="Arial"/>
          <w:sz w:val="22"/>
          <w:lang w:val="sr-Cyrl-RS"/>
        </w:rPr>
        <w:t>;</w:t>
      </w:r>
    </w:p>
    <w:p w:rsidR="006F2A2A" w:rsidRPr="001E7A16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За меру из поглавља I. тачкa 4) Јавног позива  уколико се врши замена постојећег котла, документ (гарантни лист, рачун, фотографија типске плочице на уређају или друго) који недвосм</w:t>
      </w:r>
      <w:r>
        <w:rPr>
          <w:rFonts w:ascii="Arial" w:eastAsia="游ゴシック" w:hAnsi="Arial" w:cs="Arial"/>
          <w:sz w:val="22"/>
          <w:lang w:val="sr-Cyrl-RS"/>
        </w:rPr>
        <w:t>ислено доказује на основу датума</w:t>
      </w:r>
      <w:r w:rsidRPr="001E7A16">
        <w:rPr>
          <w:rFonts w:ascii="Arial" w:eastAsia="游ゴシック" w:hAnsi="Arial" w:cs="Arial"/>
          <w:sz w:val="22"/>
          <w:lang w:val="sr-Cyrl-RS"/>
        </w:rPr>
        <w:t xml:space="preserve"> производње или уградње</w:t>
      </w:r>
      <w:r>
        <w:rPr>
          <w:rFonts w:ascii="Arial" w:eastAsia="游ゴシック" w:hAnsi="Arial" w:cs="Arial"/>
          <w:sz w:val="22"/>
          <w:lang w:val="sr-Cyrl-RS"/>
        </w:rPr>
        <w:t>,</w:t>
      </w:r>
      <w:r w:rsidRPr="001E7A16">
        <w:rPr>
          <w:rFonts w:ascii="Arial" w:eastAsia="游ゴシック" w:hAnsi="Arial" w:cs="Arial"/>
          <w:sz w:val="22"/>
          <w:lang w:val="sr-Cyrl-RS"/>
        </w:rPr>
        <w:t xml:space="preserve">  да је уграђен у периоду </w:t>
      </w:r>
      <w:r w:rsidRPr="00385408">
        <w:rPr>
          <w:rFonts w:ascii="Arial" w:eastAsia="游ゴシック" w:hAnsi="Arial" w:cs="Arial"/>
          <w:sz w:val="22"/>
          <w:lang w:val="sr-Cyrl-RS"/>
        </w:rPr>
        <w:t>дужем од 15 година</w:t>
      </w:r>
      <w:r w:rsidRPr="001E7A16">
        <w:rPr>
          <w:rFonts w:ascii="Arial" w:eastAsia="游ゴシック" w:hAnsi="Arial" w:cs="Arial"/>
          <w:sz w:val="22"/>
          <w:lang w:val="sr-Cyrl-RS"/>
        </w:rPr>
        <w:t xml:space="preserve"> од дана објављивања овог Јавног позива</w:t>
      </w:r>
      <w:r w:rsidRPr="00385408">
        <w:rPr>
          <w:rFonts w:ascii="Arial" w:eastAsia="游ゴシック" w:hAnsi="Arial" w:cs="Arial"/>
          <w:sz w:val="22"/>
          <w:lang w:val="sr-Cyrl-RS"/>
        </w:rPr>
        <w:t>;</w:t>
      </w:r>
    </w:p>
    <w:p w:rsidR="006F2A2A" w:rsidRPr="00455224" w:rsidRDefault="006F2A2A" w:rsidP="006F2A2A">
      <w:pPr>
        <w:pStyle w:val="ListParagraph"/>
        <w:numPr>
          <w:ilvl w:val="0"/>
          <w:numId w:val="3"/>
        </w:numPr>
        <w:spacing w:after="0" w:line="240" w:lineRule="auto"/>
        <w:ind w:left="1418" w:hanging="567"/>
        <w:rPr>
          <w:rFonts w:ascii="Arial" w:eastAsia="游ゴシック" w:hAnsi="Arial" w:cs="Arial"/>
          <w:sz w:val="22"/>
          <w:lang w:val="sr-Cyrl-RS"/>
        </w:rPr>
      </w:pPr>
      <w:r w:rsidRPr="001E7A16">
        <w:rPr>
          <w:rFonts w:ascii="Arial" w:eastAsia="游ゴシック" w:hAnsi="Arial" w:cs="Arial"/>
          <w:sz w:val="22"/>
          <w:lang w:val="sr-Cyrl-RS"/>
        </w:rPr>
        <w:t>предмер и предрачун/ профактура за материјал и опрему са уградњом издата од привредног субјекта са листе директних корисника (привредних субјеката) коју је објавило/ла Град/Општина, издата након објављивања јавног позива, као и атесте/извештаје који доказују испуњеност минималних услова енергетске ефикасности из одељка I.;</w:t>
      </w:r>
    </w:p>
    <w:p w:rsidR="006F2A2A" w:rsidRDefault="006F2A2A" w:rsidP="006F2A2A">
      <w:pPr>
        <w:pStyle w:val="ListParagraph"/>
        <w:spacing w:after="0" w:line="240" w:lineRule="auto"/>
        <w:ind w:left="1531" w:hanging="680"/>
        <w:rPr>
          <w:rFonts w:ascii="Arial" w:eastAsia="游ゴシック" w:hAnsi="Arial" w:cs="Arial"/>
          <w:b/>
          <w:sz w:val="22"/>
          <w:lang w:val="sr-Cyrl-RS"/>
        </w:rPr>
      </w:pPr>
    </w:p>
    <w:p w:rsidR="006F2A2A" w:rsidRPr="001E7A16" w:rsidRDefault="006F2A2A" w:rsidP="006F2A2A">
      <w:pPr>
        <w:pStyle w:val="ListParagraph"/>
        <w:spacing w:after="0" w:line="240" w:lineRule="auto"/>
        <w:ind w:left="360"/>
        <w:rPr>
          <w:rFonts w:ascii="Arial" w:eastAsia="游ゴシック" w:hAnsi="Arial" w:cs="Arial"/>
          <w:sz w:val="22"/>
          <w:lang w:val="sr-Cyrl-RS"/>
        </w:rPr>
      </w:pPr>
      <w:r w:rsidRPr="00EC4296">
        <w:rPr>
          <w:rFonts w:ascii="Arial" w:eastAsia="游ゴシック" w:hAnsi="Arial" w:cs="Arial"/>
          <w:b/>
          <w:sz w:val="22"/>
          <w:lang w:val="sr-Cyrl-RS"/>
        </w:rPr>
        <w:t>Напомена:</w:t>
      </w:r>
      <w:r w:rsidRPr="001E7A16">
        <w:rPr>
          <w:rFonts w:ascii="Arial" w:eastAsia="游ゴシック" w:hAnsi="Arial" w:cs="Arial"/>
          <w:sz w:val="22"/>
          <w:lang w:val="sr-Cyrl-RS"/>
        </w:rPr>
        <w:t xml:space="preserve"> грађани нису у обавези да достављају документацију која је јавно доступна (нпр. Извод из листа непокретности</w:t>
      </w:r>
      <w:r w:rsidRPr="001E7A16">
        <w:rPr>
          <w:rFonts w:ascii="Arial" w:eastAsia="游ゴシック" w:hAnsi="Arial" w:cs="Arial"/>
          <w:sz w:val="22"/>
          <w:lang w:val="sr-Cyrl-CS"/>
        </w:rPr>
        <w:t xml:space="preserve"> и решење о статусу енергетски угроженог купца</w:t>
      </w:r>
      <w:r w:rsidRPr="001E7A16">
        <w:rPr>
          <w:rFonts w:ascii="Arial" w:eastAsia="游ゴシック" w:hAnsi="Arial" w:cs="Arial"/>
          <w:sz w:val="22"/>
          <w:lang w:val="sr-Cyrl-RS"/>
        </w:rPr>
        <w:t>).</w:t>
      </w:r>
    </w:p>
    <w:p w:rsidR="00B43B27" w:rsidRDefault="00B43B27"/>
    <w:sectPr w:rsidR="00B43B27" w:rsidSect="006F2A2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9217F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337D045B"/>
    <w:multiLevelType w:val="multilevel"/>
    <w:tmpl w:val="6DBA13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438F2"/>
    <w:multiLevelType w:val="hybridMultilevel"/>
    <w:tmpl w:val="110E9070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E9"/>
    <w:rsid w:val="002C7F40"/>
    <w:rsid w:val="006F2A2A"/>
    <w:rsid w:val="00756AC4"/>
    <w:rsid w:val="008F6876"/>
    <w:rsid w:val="00B43B27"/>
    <w:rsid w:val="00B46A3C"/>
    <w:rsid w:val="00BE53D4"/>
    <w:rsid w:val="00F1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2B429-687A-4779-86CE-DD794C47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CE9"/>
    <w:pPr>
      <w:spacing w:after="5" w:line="252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0C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10CE9"/>
    <w:rPr>
      <w:rFonts w:ascii="Times New Roman" w:eastAsia="Times New Roman" w:hAnsi="Times New Roman" w:cs="Times New Roman"/>
      <w:color w:val="000000"/>
      <w:sz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A3C"/>
    <w:rPr>
      <w:rFonts w:ascii="Segoe UI" w:eastAsia="Times New Roman" w:hAnsi="Segoe UI" w:cs="Segoe UI"/>
      <w:color w:val="000000"/>
      <w:sz w:val="18"/>
      <w:szCs w:val="18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Todorovic</dc:creator>
  <cp:keywords/>
  <dc:description/>
  <cp:lastModifiedBy>Gordana Stojanovic</cp:lastModifiedBy>
  <cp:revision>7</cp:revision>
  <cp:lastPrinted>2024-10-21T07:39:00Z</cp:lastPrinted>
  <dcterms:created xsi:type="dcterms:W3CDTF">2024-09-04T07:02:00Z</dcterms:created>
  <dcterms:modified xsi:type="dcterms:W3CDTF">2024-10-24T07:39:00Z</dcterms:modified>
</cp:coreProperties>
</file>